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6fa6" w14:textId="0896fa6">
      <w:pPr>
        <w:pStyle w:val="TitleStyle"/>
        <w15:collapsed w:val="false"/>
      </w:pPr>
      <w:r>
        <w:t>Organizacja przyjmowania i rozpatrywania skarg i wniosków.</w:t>
      </w:r>
    </w:p>
    <w:p>
      <w:pPr>
        <w:pStyle w:val="NormalStyle"/>
      </w:pPr>
      <w:r>
        <w:t>Dz.U.2002.5.46 z dnia 2002.01.22</w:t>
      </w:r>
    </w:p>
    <w:p>
      <w:pPr>
        <w:pStyle w:val="NormalStyle"/>
      </w:pPr>
      <w:r>
        <w:t>Status: Akt obowiązujący </w:t>
      </w:r>
    </w:p>
    <w:p>
      <w:pPr>
        <w:pStyle w:val="NormalStyle"/>
      </w:pPr>
      <w:r>
        <w:t>Wersja od: 22 stycznia 2002 r. </w:t>
      </w:r>
    </w:p>
    <w:p>
      <w:pPr>
        <w:spacing w:before="587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36"/>
          <w:lang w:val="pl-Pl"/>
        </w:rPr>
        <w:t>ROZPORZĄDZENIE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36"/>
          <w:lang w:val="pl-Pl"/>
        </w:rPr>
        <w:t>RADY MINISTRÓW</w:t>
      </w:r>
    </w:p>
    <w:p>
      <w:pPr>
        <w:spacing w:before="32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30"/>
          <w:lang w:val="pl-Pl"/>
        </w:rPr>
        <w:t>z dnia 8 stycznia 2002 r.</w:t>
      </w:r>
    </w:p>
    <w:p>
      <w:pPr>
        <w:spacing w:before="32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30"/>
          <w:lang w:val="pl-Pl"/>
        </w:rPr>
        <w:t>w sprawie organizacji przyjmowania i rozpatrywania skarg i wniosków.</w:t>
      </w:r>
    </w:p>
    <w:p>
      <w:pPr>
        <w:spacing w:before="32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226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14 czerwca 1960 r. - Kodeks postępowania administracyjnego zarządza się, co następuje:</w:t>
      </w:r>
    </w:p>
    <w:p>
      <w:pPr>
        <w:spacing w:after="0"/>
        <w:ind w:left="0"/>
        <w:jc w:val="left"/>
        <w:textAlignment w:val="auto"/>
      </w:pPr>
    </w:p>
    <w:p>
      <w:pPr>
        <w:spacing w:before="587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10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Przepisy ogólne</w:t>
      </w:r>
    </w:p>
    <w:p>
      <w:pPr>
        <w:spacing w:before="107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 </w:t>
      </w:r>
    </w:p>
    <w:p>
      <w:pPr>
        <w:spacing w:before="107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Rozporządzenie reguluje organizację przyjmowania oraz rozpatrywania skarg i wniosków, składanych do organów państwowych, organów jednostek samorządu terytorialnego oraz organów samorządowych jednostek organizacyjnych.</w:t>
      </w:r>
    </w:p>
    <w:p>
      <w:pPr>
        <w:spacing w:before="107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Przepisy rozporządzenia stosuje się do skarg i wniosków składanych do organów organizacji i instytucji społecznych, gdy pozostają one w związku z wykonywanymi przez te organizacje i instytucje społeczne zadaniami zleconymi z zakresu administracji publicznej.</w:t>
      </w:r>
    </w:p>
    <w:p>
      <w:pPr>
        <w:spacing w:before="107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Przepisy rozporządzenia stosuje się również do:</w:t>
      </w:r>
    </w:p>
    <w:p>
      <w:pPr>
        <w:spacing w:before="107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 1) 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skarg i wniosków przekazanych właściwym organom przez redakcje prasowe, radiowe i telewizyjne oraz organizacje i instytucje społeczne,</w:t>
      </w:r>
    </w:p>
    <w:p>
      <w:pPr>
        <w:spacing w:before="107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 2) 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materiałów prasowych i innych opublikowanych wiadomości, jeżeli mają znamiona skargi lub wniosku i zostały przesłane właściwym organom przez redakcje prasowe, radiowe i telewizyjne.</w:t>
      </w:r>
    </w:p>
    <w:p>
      <w:pPr>
        <w:spacing w:before="107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Skargę lub wniosek adresowane do właściwego organu i przesłane w odpisie do innego organu rozpatruje i załatwia, w ramach swojej właściwości, organ, do którego były adresowane.</w:t>
      </w:r>
    </w:p>
    <w:p>
      <w:pPr>
        <w:spacing w:before="107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 </w:t>
      </w:r>
    </w:p>
    <w:p>
      <w:pPr>
        <w:spacing w:before="107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Przyjmowanie i koordynowanie rozpatrywania skarg i wniosków powierza się wyodrębnionej komórce organizacyjnej lub imiennie wyznaczonym pracownikom.</w:t>
      </w:r>
    </w:p>
    <w:p>
      <w:pPr>
        <w:spacing w:before="107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siedzibie danej jednostki organizacyjnej, w widocznym miejscu, umieszcza się informację wskazującą komórkę organizacyjną lub wyznaczonych pracowników przyjmujących oraz rozpatrujących skargi i wnioski.</w:t>
      </w:r>
    </w:p>
    <w:p>
      <w:pPr>
        <w:spacing w:before="107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Organy państwowe określone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229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Kodeksu postępowania administracyjnego, przekazując w trybie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232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tego Kodeksu skargę do załatwienia właściwemu organowi niższego stopnia, mogą żądać od tego organu informacji o sposobie jej załatwienia.</w:t>
      </w:r>
    </w:p>
    <w:p>
      <w:pPr>
        <w:spacing w:after="0"/>
        <w:ind w:left="0"/>
        <w:jc w:val="left"/>
        <w:textAlignment w:val="auto"/>
      </w:pPr>
    </w:p>
    <w:p>
      <w:pPr>
        <w:spacing w:before="587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2 </w:t>
      </w:r>
    </w:p>
    <w:p>
      <w:pPr>
        <w:spacing w:before="10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Przyjmowanie skarg i wniosków</w:t>
      </w:r>
    </w:p>
    <w:p>
      <w:pPr>
        <w:spacing w:before="107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Skargi i wnioski mogą być wnoszone pisemnie, telegraficznie lub za pomocą dalekopisu, telefaksu, poczty elektronicznej, a także ustnie do protokołu.</w:t>
      </w:r>
    </w:p>
    <w:p>
      <w:pPr>
        <w:spacing w:before="107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 </w:t>
      </w:r>
    </w:p>
    <w:p>
      <w:pPr>
        <w:spacing w:before="107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razie zgłoszenia skargi lub wniosku ustnie, przyjmujący zgłoszenie sporządza protokół, który podpisują wnoszący skargę lub wniosek i przyjmujący zgłoszenie.</w:t>
      </w:r>
    </w:p>
    <w:p>
      <w:pPr>
        <w:spacing w:before="107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protokole zamieszcza się datę przyjęcia skargi lub wniosku, imię, nazwisko (nazwę) i adres zgłaszającego oraz zwięzły opis treści sprawy.</w:t>
      </w:r>
    </w:p>
    <w:p>
      <w:pPr>
        <w:spacing w:before="107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Przyjmujący skargi i wnioski potwierdza złożenie skargi lub wniosku, jeżeli zażąda tego wnoszący.</w:t>
      </w:r>
    </w:p>
    <w:p>
      <w:pPr>
        <w:spacing w:after="0"/>
        <w:ind w:left="0"/>
        <w:jc w:val="left"/>
        <w:textAlignment w:val="auto"/>
      </w:pPr>
    </w:p>
    <w:p>
      <w:pPr>
        <w:spacing w:before="587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3 </w:t>
      </w:r>
    </w:p>
    <w:p>
      <w:pPr>
        <w:spacing w:before="10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Rozpatrywanie skarg i wniosków</w:t>
      </w:r>
    </w:p>
    <w:p>
      <w:pPr>
        <w:spacing w:before="107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 </w:t>
      </w:r>
    </w:p>
    <w:p>
      <w:pPr>
        <w:spacing w:before="107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Skargi i wnioski niezawierające imienia i nazwiska (nazwy) oraz adresu wnoszącego pozostawia się bez rozpoznania.</w:t>
      </w:r>
    </w:p>
    <w:p>
      <w:pPr>
        <w:spacing w:before="107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z treści skargi lub wniosku nie można należycie ustalić ich przedmiotu, wzywa się wnoszącego skargę lub wniosek do złożenia, w terminie siedmiu dni od dnia otrzymania wezwania, wyjaśnienia lub uzupełnienia, z pouczeniem, że nieusunięcie tych braków spowoduje pozostawienie skargi lub wniosku bez rozpoznania.</w:t>
      </w:r>
    </w:p>
    <w:p>
      <w:pPr>
        <w:spacing w:before="107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rozpatrzenie skargi lub wniosku wymaga uprzedniego zbadania i wyjaśnienia sprawy, organ właściwy do rozpatrzenia skargi lub wniosku zbiera niezbędne materiały. W tym celu może zwrócić się do innych organów o przekazanie niezbędnych materiałów i wyjaśnień.</w:t>
      </w:r>
    </w:p>
    <w:p>
      <w:pPr>
        <w:spacing w:before="107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skarga lub wniosek dotyczy kilku spraw podlegających rozpatrzeniu przez różne organy, organ, do którego wniesiono skargę lub wniosek, rozpatruje sprawy należące do jego właściwości, a pozostałe przekazuje niezwłocznie, nie później jednak niż w terminie siedmiu dni, właściwym organom, przesyłając odpis skargi lub wniosku, i zawiadamia o tym równocześnie wnoszącego skargę lub wniosek.</w:t>
      </w:r>
    </w:p>
    <w:p>
      <w:pPr>
        <w:spacing w:before="107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Skarga dotycząca określonej osoby nie może być przekazana do rozpatrzenia tej osobie ani osobie, wobec której pozostaje ona w stosunku nadrzędności służbowej.</w:t>
      </w:r>
    </w:p>
    <w:p>
      <w:pPr>
        <w:spacing w:before="107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 rozpatrujący skargę lub wniosek może, na zasadach określonych w odrębnych przepisach, wydać polecenie lub podjąć inne stosowne środki, w celu usunięcia stwierdzonych uchybień oraz przyczyn ich powstawania.</w:t>
      </w:r>
    </w:p>
    <w:p>
      <w:pPr>
        <w:spacing w:before="107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Właściwy organ zawiadamia redakcję prasową, radiową lub telewizyjną o wynikach rozpatrzenia sprawy stanowiącej treść przesłanego temu organowi przez redakcję materiału prasowego lub innej opublikowanej wiadomości, mającej znamiona skargi lub wniosku, a także dokonanych rozstrzygnięciach, wydanych poleceniach lub podjętych środkach i działaniach.</w:t>
      </w:r>
    </w:p>
    <w:p>
      <w:pPr>
        <w:spacing w:after="0"/>
        <w:ind w:left="0"/>
        <w:jc w:val="left"/>
        <w:textAlignment w:val="auto"/>
      </w:pPr>
    </w:p>
    <w:p>
      <w:pPr>
        <w:spacing w:before="587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4 </w:t>
      </w:r>
    </w:p>
    <w:p>
      <w:pPr>
        <w:spacing w:before="10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Przepis końcowy</w:t>
      </w:r>
    </w:p>
    <w:p>
      <w:pPr>
        <w:spacing w:before="107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Rozporządzenie wchodzi w życie po upływie 14 dni od dnia ogłoszenia.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Open Sans" w:hAnsi="Open Sans" w:eastAsia="Open Sans" w:cs="Open Sans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Open Sans" w:hAnsi="Open Sans" w:eastAsia="Open Sans" w:cs="Open Sans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jc w:val="center"/>
    </w:pPr>
    <w:rPr>
      <w:rFonts w:ascii="Open Sans" w:hAnsi="Open Sans" w:eastAsia="Open Sans" w:cs="Open Sans"/>
      <w:b/>
      <w:color w:val="000000" w:themeColor="text1"/>
      <w:sz w:val="42"/>
    </w:rPr>
  </w:style>
  <w:style w:type="paragraph" w:styleId="TitleStyle">
    <w:name w:val="TitleStyle"/>
    <w:pPr>
      <w:spacing w:line="240" w:lineRule="auto"/>
      <w:jc w:val="left"/>
    </w:pPr>
    <w:rPr>
      <w:rFonts w:ascii="Open Sans" w:hAnsi="Open Sans" w:eastAsia="Open Sans" w:cs="Open Sans"/>
      <w:b/>
      <w:color w:val="000000" w:themeColor="text1"/>
      <w:sz w:val="32"/>
    </w:rPr>
  </w:style>
  <w:style w:type="paragraph" w:styleId="TitleCenterStyle">
    <w:name w:val="TitleCenterStyle"/>
    <w:pPr>
      <w:spacing w:line="240" w:lineRule="auto"/>
      <w:jc w:val="center"/>
    </w:pPr>
    <w:rPr>
      <w:rFonts w:ascii="Open Sans" w:hAnsi="Open Sans" w:eastAsia="Open Sans" w:cs="Open Sans"/>
      <w:b/>
      <w:color w:val="000000" w:themeColor="text1"/>
      <w:sz w:val="32"/>
    </w:rPr>
  </w:style>
  <w:style w:type="paragraph" w:styleId="NormalStyle">
    <w:name w:val="NormalStyle"/>
    <w:pPr>
      <w:spacing w:after="0" w:line="240" w:lineRule="auto"/>
      <w:jc w:val="left"/>
    </w:pPr>
    <w:rPr>
      <w:rFonts w:ascii="Open Sans" w:hAnsi="Open Sans" w:eastAsia="Open Sans" w:cs="Open Sans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Open Sans" w:hAnsi="Open Sans" w:eastAsia="Open Sans" w:cs="Open Sans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Open Sans" w:hAnsi="Open Sans" w:eastAsia="Open Sans" w:cs="Open Sans"/>
      <w:b/>
      <w:color w:val="000000" w:themeColor="text1"/>
      <w:sz w:val="24"/>
    </w:rPr>
  </w:style>
  <w:style w:type="paragraph" w:styleId="DocDefaults">
    <w:name w:val="DocDefaults"/>
    <w:pPr>
      <w:spacing w:after="200" w:line="276" w:lineRule="auto"/>
    </w:pPr>
    <w:rPr>
      <w:rFonts w:ascii="Open Sans" w:hAnsi="Open Sans" w:eastAsia="Open Sans" w:cs="Open Sans" w:asciiTheme="minorHAnsi" w:hAnsiTheme="minorHAnsi" w:eastAsiaTheme="minorHAnsi" w:cstheme="minorBidi"/>
      <w:sz w:val="24"/>
      <w:szCs w:val="22"/>
      <w:lang w:val="pl-Pl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